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rPr>
          <w:rFonts w:ascii="Times New Roman" w:hAnsi="Times New Roman" w:eastAsia="Times New Roman" w:cs="Times New Roman"/>
          <w:b/>
          <w:b/>
          <w:bCs/>
          <w:sz w:val="27"/>
          <w:szCs w:val="27"/>
          <w:lang w:val="en-US" w:eastAsia="es-ES"/>
        </w:rPr>
      </w:pPr>
      <w:r>
        <w:rPr/>
        <w:drawing>
          <wp:inline distT="0" distB="0" distL="0" distR="0">
            <wp:extent cx="5400040" cy="74358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2"/>
                    <a:stretch>
                      <a:fillRect/>
                    </a:stretch>
                  </pic:blipFill>
                  <pic:spPr bwMode="auto">
                    <a:xfrm>
                      <a:off x="0" y="0"/>
                      <a:ext cx="5400040" cy="743585"/>
                    </a:xfrm>
                    <a:prstGeom prst="rect">
                      <a:avLst/>
                    </a:prstGeom>
                  </pic:spPr>
                </pic:pic>
              </a:graphicData>
            </a:graphic>
          </wp:inline>
        </w:drawing>
      </w:r>
    </w:p>
    <w:tbl>
      <w:tblPr>
        <w:tblStyle w:val="Grigliatabella"/>
        <w:tblW w:w="849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494"/>
      </w:tblGrid>
      <w:tr>
        <w:trPr/>
        <w:tc>
          <w:tcPr>
            <w:tcW w:w="8494" w:type="dxa"/>
            <w:tcBorders/>
          </w:tcPr>
          <w:p>
            <w:pPr>
              <w:pStyle w:val="Normal"/>
              <w:widowControl/>
              <w:spacing w:lineRule="auto" w:line="240" w:before="120" w:after="0"/>
              <w:jc w:val="center"/>
              <w:rPr>
                <w:rFonts w:ascii="Times New Roman" w:hAnsi="Times New Roman" w:eastAsia="Times New Roman" w:cs="Times New Roman"/>
                <w:b/>
                <w:b/>
                <w:bCs/>
                <w:sz w:val="24"/>
                <w:szCs w:val="27"/>
                <w:lang w:eastAsia="es-ES"/>
              </w:rPr>
            </w:pPr>
            <w:r>
              <w:rPr>
                <w:rFonts w:eastAsia="Times New Roman" w:cs="Times New Roman" w:ascii="Times New Roman" w:hAnsi="Times New Roman"/>
                <w:b/>
                <w:bCs/>
                <w:kern w:val="0"/>
                <w:sz w:val="24"/>
                <w:szCs w:val="27"/>
                <w:lang w:val="es-ES" w:eastAsia="es-ES" w:bidi="ar-SA"/>
              </w:rPr>
              <w:t>Granada Conference Centre, Granada, Spain</w:t>
            </w:r>
          </w:p>
          <w:p>
            <w:pPr>
              <w:pStyle w:val="Normal"/>
              <w:widowControl/>
              <w:spacing w:lineRule="auto" w:line="240" w:before="0" w:after="0"/>
              <w:jc w:val="center"/>
              <w:rPr>
                <w:rFonts w:ascii="Times New Roman" w:hAnsi="Times New Roman" w:eastAsia="Times New Roman" w:cs="Times New Roman"/>
                <w:b/>
                <w:b/>
                <w:bCs/>
                <w:sz w:val="24"/>
                <w:szCs w:val="27"/>
                <w:lang w:eastAsia="es-ES"/>
              </w:rPr>
            </w:pPr>
            <w:r>
              <w:rPr>
                <w:rFonts w:eastAsia="Times New Roman" w:cs="Times New Roman" w:ascii="Times New Roman" w:hAnsi="Times New Roman"/>
                <w:b/>
                <w:bCs/>
                <w:kern w:val="0"/>
                <w:sz w:val="24"/>
                <w:szCs w:val="27"/>
                <w:lang w:val="es-ES" w:eastAsia="es-ES" w:bidi="ar-SA"/>
              </w:rPr>
              <w:t>May 8-10, 2026</w:t>
            </w:r>
          </w:p>
          <w:p>
            <w:pPr>
              <w:pStyle w:val="Normal"/>
              <w:widowControl/>
              <w:spacing w:lineRule="auto" w:line="240" w:before="0" w:after="120"/>
              <w:jc w:val="center"/>
              <w:rPr>
                <w:rFonts w:ascii="Times New Roman" w:hAnsi="Times New Roman" w:eastAsia="Times New Roman" w:cs="Times New Roman"/>
                <w:b/>
                <w:b/>
                <w:bCs/>
                <w:sz w:val="27"/>
                <w:szCs w:val="27"/>
                <w:lang w:val="en-US" w:eastAsia="es-ES"/>
              </w:rPr>
            </w:pPr>
            <w:r>
              <w:rPr>
                <w:rFonts w:eastAsia="Times New Roman" w:cs="Times New Roman" w:ascii="Times New Roman" w:hAnsi="Times New Roman"/>
                <w:b/>
                <w:bCs/>
                <w:kern w:val="0"/>
                <w:sz w:val="24"/>
                <w:szCs w:val="27"/>
                <w:lang w:val="en-US" w:eastAsia="es-ES" w:bidi="ar-SA"/>
              </w:rPr>
              <w:t xml:space="preserve">Access all submission details: </w:t>
            </w:r>
            <w:hyperlink r:id="rId3">
              <w:r>
                <w:rPr>
                  <w:rStyle w:val="InternetLink"/>
                  <w:rFonts w:eastAsia="Times New Roman" w:cs="Times New Roman" w:ascii="Times New Roman" w:hAnsi="Times New Roman"/>
                  <w:b/>
                  <w:bCs/>
                  <w:kern w:val="0"/>
                  <w:sz w:val="24"/>
                  <w:szCs w:val="27"/>
                  <w:lang w:val="en-US" w:eastAsia="es-ES" w:bidi="ar-SA"/>
                </w:rPr>
                <w:t>https://www.ieeesmc.org/cai-2026/</w:t>
              </w:r>
            </w:hyperlink>
          </w:p>
        </w:tc>
      </w:tr>
    </w:tbl>
    <w:p>
      <w:pPr>
        <w:pStyle w:val="Normal"/>
        <w:spacing w:lineRule="auto" w:line="240" w:before="0" w:after="0"/>
        <w:rPr>
          <w:rFonts w:ascii="DejaVuMathTeXGyre-Regular" w:hAnsi="DejaVuMathTeXGyre-Regular" w:cs="DejaVuMathTeXGyre-Regular"/>
          <w:color w:val="2E7786"/>
          <w:sz w:val="24"/>
          <w:szCs w:val="24"/>
          <w:lang w:val="en-US"/>
        </w:rPr>
      </w:pPr>
      <w:r>
        <w:rPr>
          <w:rFonts w:cs="DejaVuMathTeXGyre-Regular" w:ascii="DejaVuMathTeXGyre-Regular" w:hAnsi="DejaVuMathTeXGyre-Regular"/>
          <w:color w:val="2E7786"/>
          <w:sz w:val="24"/>
          <w:szCs w:val="24"/>
          <w:lang w:val="en-US"/>
        </w:rPr>
      </w:r>
    </w:p>
    <w:p>
      <w:pPr>
        <w:pStyle w:val="Normal"/>
        <w:spacing w:lineRule="auto" w:line="240" w:before="0" w:after="0"/>
        <w:rPr>
          <w:rFonts w:ascii="DejaVuMathTeXGyre-Regular" w:hAnsi="DejaVuMathTeXGyre-Regular" w:cs="DejaVuMathTeXGyre-Regular"/>
          <w:color w:val="2E7786"/>
          <w:sz w:val="19"/>
          <w:szCs w:val="19"/>
          <w:lang w:val="en-US"/>
        </w:rPr>
      </w:pPr>
      <w:r>
        <w:rPr>
          <w:rFonts w:cs="DejaVuMathTeXGyre-Regular" w:ascii="DejaVuMathTeXGyre-Regular" w:hAnsi="DejaVuMathTeXGyre-Regular"/>
          <w:color w:val="2E7786"/>
          <w:sz w:val="24"/>
          <w:szCs w:val="24"/>
          <w:lang w:val="en-US"/>
        </w:rPr>
        <w:t>1. PANEL</w:t>
      </w:r>
      <w:r>
        <w:rPr>
          <w:rFonts w:cs="DejaVuMathTeXGyre-Regular" w:ascii="DejaVuMathTeXGyre-Regular" w:hAnsi="DejaVuMathTeXGyre-Regular"/>
          <w:color w:val="2E7786"/>
          <w:sz w:val="19"/>
          <w:szCs w:val="19"/>
          <w:lang w:val="en-US"/>
        </w:rPr>
        <w:t xml:space="preserve"> </w:t>
      </w:r>
      <w:r>
        <w:rPr>
          <w:rFonts w:cs="DejaVuMathTeXGyre-Regular" w:ascii="DejaVuMathTeXGyre-Regular" w:hAnsi="DejaVuMathTeXGyre-Regular"/>
          <w:color w:val="2E7786"/>
          <w:sz w:val="24"/>
          <w:szCs w:val="24"/>
          <w:lang w:val="en-US"/>
        </w:rPr>
        <w:t>T</w:t>
      </w:r>
      <w:r>
        <w:rPr>
          <w:rFonts w:cs="DejaVuMathTeXGyre-Regular" w:ascii="DejaVuMathTeXGyre-Regular" w:hAnsi="DejaVuMathTeXGyre-Regular"/>
          <w:color w:val="2E7786"/>
          <w:sz w:val="19"/>
          <w:szCs w:val="19"/>
          <w:lang w:val="en-US"/>
        </w:rPr>
        <w:t>ITLE</w:t>
      </w:r>
    </w:p>
    <w:p>
      <w:pPr>
        <w:pStyle w:val="Normal"/>
        <w:spacing w:lineRule="auto" w:line="240" w:before="0" w:after="0"/>
        <w:rPr>
          <w:rFonts w:ascii="DejaVuMathTeXGyre-Regular" w:hAnsi="DejaVuMathTeXGyre-Regular" w:cs="DejaVuMathTeXGyre-Regular"/>
          <w:color w:val="2E7786"/>
          <w:sz w:val="20"/>
          <w:szCs w:val="20"/>
          <w:lang w:val="en-US"/>
        </w:rPr>
      </w:pPr>
      <w:r>
        <w:rPr/>
      </w:r>
    </w:p>
    <w:p>
      <w:pPr>
        <w:pStyle w:val="Normal"/>
        <w:spacing w:lineRule="auto" w:line="240" w:before="0" w:after="0"/>
        <w:rPr>
          <w:rFonts w:ascii="DejaVuMathTeXGyre-Regular" w:hAnsi="DejaVuMathTeXGyre-Regular" w:cs="DejaVuMathTeXGyre-Regular"/>
          <w:color w:val="2E7786"/>
          <w:sz w:val="24"/>
          <w:szCs w:val="24"/>
          <w:lang w:val="en-US"/>
        </w:rPr>
      </w:pPr>
      <w:r>
        <w:rPr>
          <w:rFonts w:cs="DejaVuMathTeXGyre-Regular" w:ascii="DejaVuMathTeXGyre-Regular" w:hAnsi="DejaVuMathTeXGyre-Regular"/>
          <w:color w:val="2E7786"/>
          <w:sz w:val="24"/>
          <w:szCs w:val="24"/>
          <w:lang w:val="en-US"/>
        </w:rPr>
      </w:r>
    </w:p>
    <w:p>
      <w:pPr>
        <w:pStyle w:val="Normal"/>
        <w:spacing w:lineRule="auto" w:line="240" w:before="0" w:after="0"/>
        <w:rPr>
          <w:rFonts w:ascii="DejaVuMathTeXGyre-Regular" w:hAnsi="DejaVuMathTeXGyre-Regular" w:cs="DejaVuMathTeXGyre-Regular"/>
          <w:color w:val="2E7786"/>
          <w:sz w:val="19"/>
          <w:szCs w:val="19"/>
          <w:lang w:val="en-US"/>
        </w:rPr>
      </w:pPr>
      <w:r>
        <w:rPr>
          <w:rFonts w:cs="DejaVuMathTeXGyre-Regular" w:ascii="DejaVuMathTeXGyre-Regular" w:hAnsi="DejaVuMathTeXGyre-Regular"/>
          <w:color w:val="2E7786"/>
          <w:sz w:val="24"/>
          <w:szCs w:val="24"/>
          <w:lang w:val="en-US"/>
        </w:rPr>
        <w:t>2. Panel</w:t>
      </w:r>
      <w:r>
        <w:rPr>
          <w:rFonts w:cs="DejaVuMathTeXGyre-Regular" w:ascii="DejaVuMathTeXGyre-Regular" w:hAnsi="DejaVuMathTeXGyre-Regular"/>
          <w:color w:val="2E7786"/>
          <w:sz w:val="19"/>
          <w:szCs w:val="19"/>
          <w:lang w:val="en-US"/>
        </w:rPr>
        <w:t xml:space="preserve"> </w:t>
      </w:r>
      <w:r>
        <w:rPr>
          <w:rFonts w:cs="DejaVuMathTeXGyre-Regular" w:ascii="DejaVuMathTeXGyre-Regular" w:hAnsi="DejaVuMathTeXGyre-Regular"/>
          <w:color w:val="2E7786"/>
          <w:sz w:val="24"/>
          <w:szCs w:val="24"/>
          <w:lang w:val="en-US"/>
        </w:rPr>
        <w:t>A</w:t>
      </w:r>
      <w:r>
        <w:rPr>
          <w:rFonts w:cs="DejaVuMathTeXGyre-Regular" w:ascii="DejaVuMathTeXGyre-Regular" w:hAnsi="DejaVuMathTeXGyre-Regular"/>
          <w:color w:val="2E7786"/>
          <w:sz w:val="19"/>
          <w:szCs w:val="19"/>
          <w:lang w:val="en-US"/>
        </w:rPr>
        <w:t>BSTRACT</w:t>
      </w:r>
    </w:p>
    <w:p>
      <w:pPr>
        <w:pStyle w:val="Normal"/>
        <w:spacing w:lineRule="auto" w:line="240" w:before="0" w:after="0"/>
        <w:rPr>
          <w:rFonts w:ascii="DejaVuMathTeXGyre-Regular" w:hAnsi="DejaVuMathTeXGyre-Regular" w:cs="DejaVuMathTeXGyre-Regular"/>
          <w:color w:val="2E7786"/>
          <w:sz w:val="20"/>
          <w:szCs w:val="20"/>
          <w:lang w:val="en-US"/>
        </w:rPr>
      </w:pPr>
      <w:r>
        <w:rPr/>
      </w:r>
    </w:p>
    <w:p>
      <w:pPr>
        <w:pStyle w:val="Normal"/>
        <w:spacing w:lineRule="auto" w:line="240" w:before="0" w:after="0"/>
        <w:rPr>
          <w:rFonts w:ascii="DejaVuMathTeXGyre-Regular" w:hAnsi="DejaVuMathTeXGyre-Regular" w:cs="DejaVuMathTeXGyre-Regular"/>
          <w:color w:val="2E7786"/>
          <w:sz w:val="24"/>
          <w:szCs w:val="24"/>
          <w:lang w:val="en-US"/>
        </w:rPr>
      </w:pPr>
      <w:r>
        <w:rPr>
          <w:rFonts w:cs="DejaVuMathTeXGyre-Regular" w:ascii="DejaVuMathTeXGyre-Regular" w:hAnsi="DejaVuMathTeXGyre-Regular"/>
          <w:color w:val="2E7786"/>
          <w:sz w:val="24"/>
          <w:szCs w:val="24"/>
          <w:lang w:val="en-US"/>
        </w:rPr>
      </w:r>
    </w:p>
    <w:p>
      <w:pPr>
        <w:pStyle w:val="Normal"/>
        <w:spacing w:lineRule="auto" w:line="240" w:before="0" w:after="0"/>
        <w:rPr>
          <w:rFonts w:ascii="DejaVuMathTeXGyre-Regular" w:hAnsi="DejaVuMathTeXGyre-Regular" w:cs="DejaVuMathTeXGyre-Regular"/>
          <w:color w:val="2E7786"/>
          <w:sz w:val="24"/>
          <w:szCs w:val="24"/>
          <w:lang w:val="en-US"/>
        </w:rPr>
      </w:pPr>
      <w:r>
        <w:rPr>
          <w:rFonts w:cs="DejaVuMathTeXGyre-Regular" w:ascii="DejaVuMathTeXGyre-Regular" w:hAnsi="DejaVuMathTeXGyre-Regular"/>
          <w:color w:val="2E7786"/>
          <w:sz w:val="24"/>
          <w:szCs w:val="24"/>
          <w:lang w:val="en-US"/>
        </w:rPr>
        <w:t>3. T</w:t>
      </w:r>
      <w:r>
        <w:rPr>
          <w:rFonts w:cs="DejaVuMathTeXGyre-Regular" w:ascii="DejaVuMathTeXGyre-Regular" w:hAnsi="DejaVuMathTeXGyre-Regular"/>
          <w:color w:val="2E7786"/>
          <w:sz w:val="19"/>
          <w:szCs w:val="19"/>
          <w:lang w:val="en-US"/>
        </w:rPr>
        <w:t xml:space="preserve">UTORIAL </w:t>
      </w:r>
      <w:r>
        <w:rPr>
          <w:rFonts w:cs="DejaVuMathTeXGyre-Regular" w:ascii="DejaVuMathTeXGyre-Regular" w:hAnsi="DejaVuMathTeXGyre-Regular"/>
          <w:color w:val="2E7786"/>
          <w:sz w:val="24"/>
          <w:szCs w:val="24"/>
          <w:lang w:val="en-US"/>
        </w:rPr>
        <w:t>F</w:t>
      </w:r>
      <w:r>
        <w:rPr>
          <w:rFonts w:cs="DejaVuMathTeXGyre-Regular" w:ascii="DejaVuMathTeXGyre-Regular" w:hAnsi="DejaVuMathTeXGyre-Regular"/>
          <w:color w:val="2E7786"/>
          <w:sz w:val="19"/>
          <w:szCs w:val="19"/>
          <w:lang w:val="en-US"/>
        </w:rPr>
        <w:t>ORMAT</w:t>
      </w:r>
      <w:r>
        <w:rPr>
          <w:rFonts w:cs="DejaVuMathTeXGyre-Regular" w:ascii="DejaVuMathTeXGyre-Regular" w:hAnsi="DejaVuMathTeXGyre-Regular"/>
          <w:color w:val="2E7786"/>
          <w:sz w:val="24"/>
          <w:szCs w:val="24"/>
          <w:lang w:val="en-US"/>
        </w:rPr>
        <w:t>/TIMELINE</w:t>
      </w:r>
    </w:p>
    <w:p>
      <w:pPr>
        <w:pStyle w:val="Normal"/>
        <w:spacing w:lineRule="auto" w:line="240" w:before="0" w:after="0"/>
        <w:rPr>
          <w:rFonts w:ascii="DejaVuMathTeXGyre-Regular" w:hAnsi="DejaVuMathTeXGyre-Regular" w:cs="DejaVuMathTeXGyre-Regular"/>
          <w:color w:val="3F3F3F"/>
          <w:lang w:val="en-US"/>
        </w:rPr>
      </w:pPr>
      <w:r>
        <w:rPr>
          <w:rFonts w:cs="Segoe UI Symbol" w:ascii="Segoe UI Symbol" w:hAnsi="Segoe UI Symbol"/>
          <w:color w:val="3F3F3F"/>
          <w:lang w:val="en-US"/>
        </w:rPr>
        <w:t>x</w:t>
      </w:r>
      <w:r>
        <w:rPr>
          <w:rFonts w:cs="MS-Gothic" w:ascii="MS-Gothic" w:hAnsi="MS-Gothic"/>
          <w:color w:val="3F3F3F"/>
          <w:lang w:val="en-US"/>
        </w:rPr>
        <w:t xml:space="preserve"> </w:t>
      </w:r>
      <w:r>
        <w:rPr>
          <w:rFonts w:cs="DejaVuMathTeXGyre-Regular" w:ascii="DejaVuMathTeXGyre-Regular" w:hAnsi="DejaVuMathTeXGyre-Regular"/>
          <w:color w:val="3F3F3F"/>
          <w:lang w:val="en-US"/>
        </w:rPr>
        <w:t>2 hours</w:t>
      </w:r>
    </w:p>
    <w:p>
      <w:pPr>
        <w:pStyle w:val="Normal"/>
        <w:spacing w:lineRule="auto" w:line="240" w:before="0" w:after="0"/>
        <w:rPr>
          <w:rFonts w:ascii="DejaVuMathTeXGyre-Regular" w:hAnsi="DejaVuMathTeXGyre-Regular" w:cs="DejaVuMathTeXGyre-Regular"/>
          <w:color w:val="2E7786"/>
          <w:lang w:val="en-US"/>
        </w:rPr>
      </w:pPr>
      <w:r>
        <w:rPr>
          <w:rFonts w:cs="DejaVuMathTeXGyre-Regular" w:ascii="DejaVuMathTeXGyre-Regular" w:hAnsi="DejaVuMathTeXGyre-Regular"/>
          <w:color w:val="2E7786"/>
          <w:lang w:val="en-US"/>
        </w:rPr>
      </w:r>
    </w:p>
    <w:p>
      <w:pPr>
        <w:pStyle w:val="Normal"/>
        <w:spacing w:lineRule="auto" w:line="240" w:before="0" w:after="0"/>
        <w:rPr>
          <w:rFonts w:ascii="DejaVuMathTeXGyre-Regular" w:hAnsi="DejaVuMathTeXGyre-Regular" w:cs="DejaVuMathTeXGyre-Regular"/>
          <w:color w:val="2E7786"/>
          <w:sz w:val="19"/>
          <w:szCs w:val="19"/>
          <w:lang w:val="en-US"/>
        </w:rPr>
      </w:pPr>
      <w:r>
        <w:rPr>
          <w:rFonts w:cs="DejaVuMathTeXGyre-Regular" w:ascii="DejaVuMathTeXGyre-Regular" w:hAnsi="DejaVuMathTeXGyre-Regular"/>
          <w:color w:val="2E7786"/>
          <w:lang w:val="en-US"/>
        </w:rPr>
        <w:t xml:space="preserve">4. </w:t>
      </w:r>
      <w:r>
        <w:rPr>
          <w:rFonts w:cs="DejaVuMathTeXGyre-Regular" w:ascii="DejaVuMathTeXGyre-Regular" w:hAnsi="DejaVuMathTeXGyre-Regular"/>
          <w:color w:val="2E7786"/>
          <w:sz w:val="24"/>
          <w:szCs w:val="24"/>
          <w:lang w:val="en-US"/>
        </w:rPr>
        <w:t>T</w:t>
      </w:r>
      <w:r>
        <w:rPr>
          <w:rFonts w:cs="DejaVuMathTeXGyre-Regular" w:ascii="DejaVuMathTeXGyre-Regular" w:hAnsi="DejaVuMathTeXGyre-Regular"/>
          <w:color w:val="2E7786"/>
          <w:sz w:val="19"/>
          <w:szCs w:val="19"/>
          <w:lang w:val="en-US"/>
        </w:rPr>
        <w:t xml:space="preserve">ARGET </w:t>
      </w:r>
      <w:r>
        <w:rPr>
          <w:rFonts w:cs="DejaVuMathTeXGyre-Regular" w:ascii="DejaVuMathTeXGyre-Regular" w:hAnsi="DejaVuMathTeXGyre-Regular"/>
          <w:color w:val="2E7786"/>
          <w:sz w:val="24"/>
          <w:szCs w:val="24"/>
          <w:lang w:val="en-US"/>
        </w:rPr>
        <w:t>A</w:t>
      </w:r>
      <w:r>
        <w:rPr>
          <w:rFonts w:cs="DejaVuMathTeXGyre-Regular" w:ascii="DejaVuMathTeXGyre-Regular" w:hAnsi="DejaVuMathTeXGyre-Regular"/>
          <w:color w:val="2E7786"/>
          <w:sz w:val="19"/>
          <w:szCs w:val="19"/>
          <w:lang w:val="en-US"/>
        </w:rPr>
        <w:t>UDIENCE</w:t>
      </w:r>
    </w:p>
    <w:p>
      <w:pPr>
        <w:pStyle w:val="Normal"/>
        <w:spacing w:lineRule="auto" w:line="240" w:before="0" w:after="0"/>
        <w:rPr>
          <w:rFonts w:ascii="DejaVuMathTeXGyre-Regular" w:hAnsi="DejaVuMathTeXGyre-Regular" w:cs="DejaVuMathTeXGyre-Regular"/>
          <w:color w:val="2E7786"/>
          <w:sz w:val="20"/>
          <w:szCs w:val="20"/>
          <w:lang w:val="en-US"/>
        </w:rPr>
      </w:pPr>
      <w:r>
        <w:rPr/>
      </w:r>
    </w:p>
    <w:p>
      <w:pPr>
        <w:pStyle w:val="Normal"/>
        <w:spacing w:lineRule="auto" w:line="240" w:before="0" w:after="0"/>
        <w:rPr>
          <w:rFonts w:ascii="DejaVuMathTeXGyre-Regular" w:hAnsi="DejaVuMathTeXGyre-Regular" w:cs="DejaVuMathTeXGyre-Regular"/>
          <w:color w:val="2E7786"/>
          <w:sz w:val="20"/>
          <w:szCs w:val="20"/>
          <w:lang w:val="en-US"/>
        </w:rPr>
      </w:pPr>
      <w:r>
        <w:rPr>
          <w:rFonts w:cs="DejaVuMathTeXGyre-Regular" w:ascii="DejaVuMathTeXGyre-Regular" w:hAnsi="DejaVuMathTeXGyre-Regular"/>
          <w:color w:val="2E7786"/>
          <w:sz w:val="20"/>
          <w:szCs w:val="20"/>
          <w:lang w:val="en-US"/>
        </w:rPr>
      </w:r>
    </w:p>
    <w:p>
      <w:pPr>
        <w:pStyle w:val="Normal"/>
        <w:spacing w:lineRule="auto" w:line="240" w:before="0" w:after="0"/>
        <w:rPr>
          <w:rFonts w:ascii="DejaVuMathTeXGyre-Regular" w:hAnsi="DejaVuMathTeXGyre-Regular" w:cs="DejaVuMathTeXGyre-Regular"/>
          <w:color w:val="2E7786"/>
          <w:lang w:val="en-US"/>
        </w:rPr>
      </w:pPr>
      <w:r>
        <w:rPr>
          <w:rFonts w:cs="DejaVuMathTeXGyre-Regular" w:ascii="DejaVuMathTeXGyre-Regular" w:hAnsi="DejaVuMathTeXGyre-Regular"/>
          <w:color w:val="2E7786"/>
          <w:lang w:val="en-US"/>
        </w:rPr>
      </w:r>
    </w:p>
    <w:p>
      <w:pPr>
        <w:pStyle w:val="Normal"/>
        <w:spacing w:lineRule="auto" w:line="240" w:before="0" w:after="0"/>
        <w:rPr>
          <w:rFonts w:ascii="DejaVuMathTeXGyre-Regular" w:hAnsi="DejaVuMathTeXGyre-Regular" w:cs="DejaVuMathTeXGyre-Regular"/>
          <w:color w:val="2E7786"/>
          <w:sz w:val="24"/>
          <w:szCs w:val="24"/>
          <w:lang w:val="en-US"/>
        </w:rPr>
      </w:pPr>
      <w:r>
        <w:rPr>
          <w:rFonts w:cs="DejaVuMathTeXGyre-Regular" w:ascii="DejaVuMathTeXGyre-Regular" w:hAnsi="DejaVuMathTeXGyre-Regular"/>
          <w:color w:val="2E7786"/>
          <w:lang w:val="en-US"/>
        </w:rPr>
        <w:t xml:space="preserve">5. Panel </w:t>
      </w:r>
      <w:r>
        <w:rPr>
          <w:rFonts w:cs="DejaVuMathTeXGyre-Regular" w:ascii="DejaVuMathTeXGyre-Regular" w:hAnsi="DejaVuMathTeXGyre-Regular"/>
          <w:color w:val="2E7786"/>
          <w:sz w:val="24"/>
          <w:szCs w:val="24"/>
          <w:lang w:val="en-US"/>
        </w:rPr>
        <w:t>P</w:t>
      </w:r>
      <w:r>
        <w:rPr>
          <w:rFonts w:cs="DejaVuMathTeXGyre-Regular" w:ascii="DejaVuMathTeXGyre-Regular" w:hAnsi="DejaVuMathTeXGyre-Regular"/>
          <w:color w:val="2E7786"/>
          <w:sz w:val="19"/>
          <w:szCs w:val="19"/>
          <w:lang w:val="en-US"/>
        </w:rPr>
        <w:t>RESENTER</w:t>
      </w:r>
      <w:r>
        <w:rPr>
          <w:rFonts w:cs="DejaVuMathTeXGyre-Regular" w:ascii="DejaVuMathTeXGyre-Regular" w:hAnsi="DejaVuMathTeXGyre-Regular"/>
          <w:color w:val="2E7786"/>
          <w:sz w:val="24"/>
          <w:szCs w:val="24"/>
          <w:lang w:val="en-US"/>
        </w:rPr>
        <w:t>(</w:t>
      </w:r>
      <w:r>
        <w:rPr>
          <w:rFonts w:cs="DejaVuMathTeXGyre-Regular" w:ascii="DejaVuMathTeXGyre-Regular" w:hAnsi="DejaVuMathTeXGyre-Regular"/>
          <w:color w:val="2E7786"/>
          <w:sz w:val="19"/>
          <w:szCs w:val="19"/>
          <w:lang w:val="en-US"/>
        </w:rPr>
        <w:t>S</w:t>
      </w:r>
      <w:r>
        <w:rPr>
          <w:rFonts w:cs="DejaVuMathTeXGyre-Regular" w:ascii="DejaVuMathTeXGyre-Regular" w:hAnsi="DejaVuMathTeXGyre-Regular"/>
          <w:color w:val="2E7786"/>
          <w:sz w:val="24"/>
          <w:szCs w:val="24"/>
          <w:lang w:val="en-US"/>
        </w:rPr>
        <w:t>)</w:t>
      </w:r>
    </w:p>
    <w:p>
      <w:pPr>
        <w:pStyle w:val="Normal"/>
        <w:spacing w:lineRule="auto" w:line="240" w:before="0" w:after="0"/>
        <w:rPr>
          <w:rFonts w:ascii="DejaVuMathTeXGyre-Regular" w:hAnsi="DejaVuMathTeXGyre-Regular" w:cs="DejaVuMathTeXGyre-Regular"/>
          <w:color w:val="2E7786"/>
          <w:sz w:val="20"/>
          <w:szCs w:val="20"/>
          <w:lang w:val="en-US"/>
        </w:rPr>
      </w:pPr>
      <w:r>
        <w:rPr>
          <w:rFonts w:cs="DejaVuMathTeXGyre-Regular" w:ascii="DejaVuMathTeXGyre-Regular" w:hAnsi="DejaVuMathTeXGyre-Regular"/>
          <w:color w:val="2E7786"/>
          <w:sz w:val="20"/>
          <w:szCs w:val="20"/>
          <w:lang w:val="en-US"/>
        </w:rPr>
        <w:t>(including names, affiliations, contact information, and links to personal website)</w:t>
      </w:r>
    </w:p>
    <w:p>
      <w:pPr>
        <w:pStyle w:val="Normal"/>
        <w:spacing w:lineRule="auto" w:line="240" w:before="0" w:after="0"/>
        <w:rPr>
          <w:rFonts w:ascii="DejaVuMathTeXGyre-Regular" w:hAnsi="DejaVuMathTeXGyre-Regular" w:cs="DejaVuMathTeXGyre-Regular"/>
          <w:color w:val="2E7786"/>
          <w:sz w:val="20"/>
          <w:szCs w:val="20"/>
          <w:lang w:val="fr-FR"/>
        </w:rPr>
      </w:pPr>
      <w:r>
        <w:rPr/>
      </w:r>
    </w:p>
    <w:p>
      <w:pPr>
        <w:pStyle w:val="Normal"/>
        <w:spacing w:lineRule="auto" w:line="240" w:before="0" w:after="0"/>
        <w:ind w:left="708" w:hanging="0"/>
        <w:rPr>
          <w:rFonts w:ascii="DejaVuMathTeXGyre-Regular" w:hAnsi="DejaVuMathTeXGyre-Regular" w:cs="DejaVuMathTeXGyre-Regular"/>
          <w:color w:val="2E7786"/>
          <w:sz w:val="20"/>
          <w:szCs w:val="20"/>
          <w:lang w:val="en-US"/>
        </w:rPr>
      </w:pPr>
      <w:r>
        <w:rPr>
          <w:rFonts w:cs="DejaVuMathTeXGyre-Regular" w:ascii="DejaVuMathTeXGyre-Regular" w:hAnsi="DejaVuMathTeXGyre-Regular"/>
          <w:color w:val="2E7786"/>
          <w:sz w:val="20"/>
          <w:szCs w:val="20"/>
          <w:lang w:val="en-US"/>
        </w:rPr>
      </w:r>
    </w:p>
    <w:p>
      <w:pPr>
        <w:pStyle w:val="Normal"/>
        <w:spacing w:lineRule="auto" w:line="240" w:before="0" w:after="0"/>
        <w:rPr>
          <w:rFonts w:ascii="DejaVuMathTeXGyre-Regular" w:hAnsi="DejaVuMathTeXGyre-Regular" w:cs="DejaVuMathTeXGyre-Regular"/>
          <w:color w:val="2E7786"/>
          <w:sz w:val="20"/>
          <w:szCs w:val="20"/>
        </w:rPr>
      </w:pPr>
      <w:r>
        <w:rPr/>
      </w:r>
    </w:p>
    <w:p>
      <w:pPr>
        <w:pStyle w:val="Normal"/>
        <w:spacing w:lineRule="auto" w:line="240" w:before="0" w:after="0"/>
        <w:rPr>
          <w:rFonts w:ascii="DejaVuMathTeXGyre-Regular" w:hAnsi="DejaVuMathTeXGyre-Regular" w:cs="DejaVuMathTeXGyre-Regular"/>
          <w:color w:val="2E7786"/>
          <w:sz w:val="24"/>
          <w:szCs w:val="24"/>
        </w:rPr>
      </w:pPr>
      <w:r>
        <w:rPr>
          <w:rFonts w:cs="DejaVuMathTeXGyre-Regular" w:ascii="DejaVuMathTeXGyre-Regular" w:hAnsi="DejaVuMathTeXGyre-Regular"/>
          <w:color w:val="2E7786"/>
          <w:sz w:val="24"/>
          <w:szCs w:val="24"/>
        </w:rPr>
      </w:r>
    </w:p>
    <w:p>
      <w:pPr>
        <w:pStyle w:val="Normal"/>
        <w:spacing w:lineRule="auto" w:line="240" w:before="0" w:after="0"/>
        <w:rPr>
          <w:rFonts w:ascii="DejaVuMathTeXGyre-Regular" w:hAnsi="DejaVuMathTeXGyre-Regular" w:cs="DejaVuMathTeXGyre-Regular"/>
          <w:color w:val="2E7786"/>
          <w:sz w:val="24"/>
          <w:szCs w:val="24"/>
          <w:lang w:val="en-US"/>
        </w:rPr>
      </w:pPr>
      <w:r>
        <w:rPr>
          <w:rFonts w:cs="DejaVuMathTeXGyre-Regular" w:ascii="DejaVuMathTeXGyre-Regular" w:hAnsi="DejaVuMathTeXGyre-Regular"/>
          <w:color w:val="2E7786"/>
          <w:sz w:val="24"/>
          <w:szCs w:val="24"/>
          <w:lang w:val="en-US"/>
        </w:rPr>
        <w:t>6:P</w:t>
      </w:r>
      <w:r>
        <w:rPr>
          <w:rFonts w:cs="DejaVuMathTeXGyre-Regular" w:ascii="DejaVuMathTeXGyre-Regular" w:hAnsi="DejaVuMathTeXGyre-Regular"/>
          <w:color w:val="2E7786"/>
          <w:sz w:val="19"/>
          <w:szCs w:val="19"/>
          <w:lang w:val="en-US"/>
        </w:rPr>
        <w:t xml:space="preserve">REVIOUS </w:t>
      </w:r>
      <w:r>
        <w:rPr>
          <w:rFonts w:cs="DejaVuMathTeXGyre-Regular" w:ascii="DejaVuMathTeXGyre-Regular" w:hAnsi="DejaVuMathTeXGyre-Regular"/>
          <w:color w:val="2E7786"/>
          <w:sz w:val="24"/>
          <w:szCs w:val="24"/>
          <w:lang w:val="en-US"/>
        </w:rPr>
        <w:t>PANELS</w:t>
      </w:r>
      <w:r>
        <w:rPr>
          <w:rFonts w:cs="DejaVuMathTeXGyre-Regular" w:ascii="DejaVuMathTeXGyre-Regular" w:hAnsi="DejaVuMathTeXGyre-Regular"/>
          <w:color w:val="2E7786"/>
          <w:sz w:val="19"/>
          <w:szCs w:val="19"/>
          <w:lang w:val="en-US"/>
        </w:rPr>
        <w:t xml:space="preserve"> GIVEN BY THE </w:t>
      </w:r>
      <w:r>
        <w:rPr>
          <w:rFonts w:cs="DejaVuMathTeXGyre-Regular" w:ascii="DejaVuMathTeXGyre-Regular" w:hAnsi="DejaVuMathTeXGyre-Regular"/>
          <w:color w:val="2E7786"/>
          <w:sz w:val="24"/>
          <w:szCs w:val="24"/>
          <w:lang w:val="en-US"/>
        </w:rPr>
        <w:t>P</w:t>
      </w:r>
      <w:r>
        <w:rPr>
          <w:rFonts w:cs="DejaVuMathTeXGyre-Regular" w:ascii="DejaVuMathTeXGyre-Regular" w:hAnsi="DejaVuMathTeXGyre-Regular"/>
          <w:color w:val="2E7786"/>
          <w:sz w:val="19"/>
          <w:szCs w:val="19"/>
          <w:lang w:val="en-US"/>
        </w:rPr>
        <w:t>RESENTER</w:t>
      </w:r>
      <w:r>
        <w:rPr>
          <w:rFonts w:cs="DejaVuMathTeXGyre-Regular" w:ascii="DejaVuMathTeXGyre-Regular" w:hAnsi="DejaVuMathTeXGyre-Regular"/>
          <w:color w:val="2E7786"/>
          <w:sz w:val="24"/>
          <w:szCs w:val="24"/>
          <w:lang w:val="en-US"/>
        </w:rPr>
        <w:t>(</w:t>
      </w:r>
      <w:r>
        <w:rPr>
          <w:rFonts w:cs="DejaVuMathTeXGyre-Regular" w:ascii="DejaVuMathTeXGyre-Regular" w:hAnsi="DejaVuMathTeXGyre-Regular"/>
          <w:color w:val="2E7786"/>
          <w:sz w:val="19"/>
          <w:szCs w:val="19"/>
          <w:lang w:val="en-US"/>
        </w:rPr>
        <w:t>S</w:t>
      </w:r>
      <w:r>
        <w:rPr>
          <w:rFonts w:cs="DejaVuMathTeXGyre-Regular" w:ascii="DejaVuMathTeXGyre-Regular" w:hAnsi="DejaVuMathTeXGyre-Regular"/>
          <w:color w:val="2E7786"/>
          <w:sz w:val="24"/>
          <w:szCs w:val="24"/>
          <w:lang w:val="en-US"/>
        </w:rPr>
        <w:t>)</w:t>
      </w:r>
    </w:p>
    <w:p>
      <w:pPr>
        <w:pStyle w:val="Normal"/>
        <w:spacing w:lineRule="auto" w:line="240" w:before="0" w:after="0"/>
        <w:rPr>
          <w:rFonts w:ascii="DejaVuMathTeXGyre-Regular" w:hAnsi="DejaVuMathTeXGyre-Regular" w:cs="DejaVuMathTeXGyre-Regular"/>
          <w:color w:val="2E7786"/>
          <w:sz w:val="20"/>
          <w:szCs w:val="20"/>
          <w:lang w:val="en-US"/>
        </w:rPr>
      </w:pPr>
      <w:r>
        <w:rPr>
          <w:rFonts w:cs="DejaVuMathTeXGyre-Regular" w:ascii="DejaVuMathTeXGyre-Regular" w:hAnsi="DejaVuMathTeXGyre-Regular"/>
          <w:color w:val="2E7786"/>
          <w:sz w:val="20"/>
          <w:szCs w:val="20"/>
          <w:lang w:val="en-US"/>
        </w:rPr>
        <w:t>(if similar events have been organized in the past, please motivate the novelty)</w:t>
      </w:r>
    </w:p>
    <w:p>
      <w:pPr>
        <w:pStyle w:val="Normal"/>
        <w:spacing w:lineRule="auto" w:line="240" w:before="0" w:after="0"/>
        <w:rPr>
          <w:rFonts w:ascii="DejaVuMathTeXGyre-Regular" w:hAnsi="DejaVuMathTeXGyre-Regular" w:cs="DejaVuMathTeXGyre-Regular"/>
          <w:color w:val="2E7786"/>
          <w:sz w:val="24"/>
          <w:szCs w:val="24"/>
          <w:lang w:val="en-US"/>
        </w:rPr>
      </w:pPr>
      <w:r>
        <w:rPr/>
      </w:r>
    </w:p>
    <w:p>
      <w:pPr>
        <w:pStyle w:val="Normal"/>
        <w:spacing w:lineRule="auto" w:line="240" w:before="0" w:after="0"/>
        <w:rPr>
          <w:rFonts w:ascii="DejaVuMathTeXGyre-Regular" w:hAnsi="DejaVuMathTeXGyre-Regular" w:cs="DejaVuMathTeXGyre-Regular"/>
          <w:color w:val="2E7786"/>
          <w:sz w:val="24"/>
          <w:szCs w:val="24"/>
          <w:lang w:val="en-US"/>
        </w:rPr>
      </w:pPr>
      <w:r>
        <w:rPr>
          <w:rFonts w:cs="DejaVuMathTeXGyre-Regular" w:ascii="DejaVuMathTeXGyre-Regular" w:hAnsi="DejaVuMathTeXGyre-Regular"/>
          <w:color w:val="2E7786"/>
          <w:sz w:val="24"/>
          <w:szCs w:val="24"/>
          <w:lang w:val="en-US"/>
        </w:rPr>
      </w:r>
    </w:p>
    <w:p>
      <w:pPr>
        <w:pStyle w:val="Normal"/>
        <w:spacing w:lineRule="auto" w:line="240" w:before="0" w:after="0"/>
        <w:rPr>
          <w:rFonts w:ascii="DejaVuMathTeXGyre-Regular" w:hAnsi="DejaVuMathTeXGyre-Regular" w:cs="DejaVuMathTeXGyre-Regular"/>
          <w:color w:val="2E7786"/>
          <w:sz w:val="24"/>
          <w:szCs w:val="24"/>
          <w:lang w:val="en-US"/>
        </w:rPr>
      </w:pPr>
      <w:r>
        <w:rPr>
          <w:rFonts w:cs="DejaVuMathTeXGyre-Regular" w:ascii="DejaVuMathTeXGyre-Regular" w:hAnsi="DejaVuMathTeXGyre-Regular"/>
          <w:color w:val="2E7786"/>
          <w:sz w:val="24"/>
          <w:szCs w:val="24"/>
          <w:lang w:val="en-US"/>
        </w:rPr>
        <w:t>7. S</w:t>
      </w:r>
      <w:r>
        <w:rPr>
          <w:rFonts w:cs="DejaVuMathTeXGyre-Regular" w:ascii="DejaVuMathTeXGyre-Regular" w:hAnsi="DejaVuMathTeXGyre-Regular"/>
          <w:color w:val="2E7786"/>
          <w:sz w:val="19"/>
          <w:szCs w:val="19"/>
          <w:lang w:val="en-US"/>
        </w:rPr>
        <w:t>IGNIFICANCE OF THE TOPIC</w:t>
      </w:r>
      <w:r>
        <w:rPr>
          <w:rFonts w:cs="DejaVuMathTeXGyre-Regular" w:ascii="DejaVuMathTeXGyre-Regular" w:hAnsi="DejaVuMathTeXGyre-Regular"/>
          <w:color w:val="2E7786"/>
          <w:sz w:val="24"/>
          <w:szCs w:val="24"/>
          <w:lang w:val="en-US"/>
        </w:rPr>
        <w:t>, T</w:t>
      </w:r>
      <w:r>
        <w:rPr>
          <w:rFonts w:cs="DejaVuMathTeXGyre-Regular" w:ascii="DejaVuMathTeXGyre-Regular" w:hAnsi="DejaVuMathTeXGyre-Regular"/>
          <w:color w:val="2E7786"/>
          <w:sz w:val="19"/>
          <w:szCs w:val="19"/>
          <w:lang w:val="en-US"/>
        </w:rPr>
        <w:t>IMELINESS</w:t>
      </w:r>
      <w:r>
        <w:rPr>
          <w:rFonts w:cs="DejaVuMathTeXGyre-Regular" w:ascii="DejaVuMathTeXGyre-Regular" w:hAnsi="DejaVuMathTeXGyre-Regular"/>
          <w:color w:val="2E7786"/>
          <w:sz w:val="24"/>
          <w:szCs w:val="24"/>
          <w:lang w:val="en-US"/>
        </w:rPr>
        <w:t>, N</w:t>
      </w:r>
      <w:r>
        <w:rPr>
          <w:rFonts w:cs="DejaVuMathTeXGyre-Regular" w:ascii="DejaVuMathTeXGyre-Regular" w:hAnsi="DejaVuMathTeXGyre-Regular"/>
          <w:color w:val="2E7786"/>
          <w:sz w:val="19"/>
          <w:szCs w:val="19"/>
          <w:lang w:val="en-US"/>
        </w:rPr>
        <w:t>OVELTY</w:t>
      </w:r>
      <w:r>
        <w:rPr>
          <w:rFonts w:cs="DejaVuMathTeXGyre-Regular" w:ascii="DejaVuMathTeXGyre-Regular" w:hAnsi="DejaVuMathTeXGyre-Regular"/>
          <w:color w:val="2E7786"/>
          <w:sz w:val="24"/>
          <w:szCs w:val="24"/>
          <w:lang w:val="en-US"/>
        </w:rPr>
        <w:t>, R</w:t>
      </w:r>
      <w:r>
        <w:rPr>
          <w:rFonts w:cs="DejaVuMathTeXGyre-Regular" w:ascii="DejaVuMathTeXGyre-Regular" w:hAnsi="DejaVuMathTeXGyre-Regular"/>
          <w:color w:val="2E7786"/>
          <w:sz w:val="19"/>
          <w:szCs w:val="19"/>
          <w:lang w:val="en-US"/>
        </w:rPr>
        <w:t xml:space="preserve">ELEVANCE TO THE </w:t>
      </w:r>
      <w:r>
        <w:rPr>
          <w:rFonts w:cs="DejaVuMathTeXGyre-Regular" w:ascii="DejaVuMathTeXGyre-Regular" w:hAnsi="DejaVuMathTeXGyre-Regular"/>
          <w:color w:val="2E7786"/>
          <w:sz w:val="24"/>
          <w:szCs w:val="24"/>
          <w:lang w:val="en-US"/>
        </w:rPr>
        <w:t>AI</w:t>
      </w:r>
    </w:p>
    <w:p>
      <w:pPr>
        <w:pStyle w:val="Normal"/>
        <w:spacing w:lineRule="auto" w:line="240" w:before="0" w:after="0"/>
        <w:rPr>
          <w:rFonts w:ascii="DejaVuMathTeXGyre-Regular" w:hAnsi="DejaVuMathTeXGyre-Regular" w:cs="DejaVuMathTeXGyre-Regular"/>
          <w:color w:val="2E7786"/>
          <w:sz w:val="20"/>
          <w:szCs w:val="20"/>
          <w:lang w:val="en-US"/>
        </w:rPr>
      </w:pPr>
      <w:r>
        <w:rPr>
          <w:rFonts w:cs="DejaVuMathTeXGyre-Regular" w:ascii="DejaVuMathTeXGyre-Regular" w:hAnsi="DejaVuMathTeXGyre-Regular"/>
          <w:color w:val="2E7786"/>
          <w:sz w:val="20"/>
          <w:szCs w:val="20"/>
          <w:lang w:val="en-US"/>
        </w:rPr>
        <w:t>The aim of the panel is to gather a large community of researchers, practitioners and industrial people interested in AI application to transportation, traffic systems, autonomous vehicles and logistics by outlining new trends and problems in this area focusing on practical applications, problems and decision making.</w:t>
      </w:r>
    </w:p>
    <w:p>
      <w:pPr>
        <w:pStyle w:val="Normal"/>
        <w:spacing w:lineRule="auto" w:line="240" w:before="0" w:after="0"/>
        <w:rPr>
          <w:rFonts w:ascii="DejaVuMathTeXGyre-Regular" w:hAnsi="DejaVuMathTeXGyre-Regular" w:cs="DejaVuMathTeXGyre-Regular"/>
          <w:color w:val="2E7786"/>
          <w:sz w:val="24"/>
          <w:szCs w:val="24"/>
          <w:lang w:val="en-US"/>
        </w:rPr>
      </w:pPr>
      <w:r>
        <w:rPr>
          <w:rFonts w:cs="DejaVuMathTeXGyre-Regular" w:ascii="DejaVuMathTeXGyre-Regular" w:hAnsi="DejaVuMathTeXGyre-Regular"/>
          <w:color w:val="2E7786"/>
          <w:sz w:val="24"/>
          <w:szCs w:val="24"/>
          <w:lang w:val="en-US"/>
        </w:rPr>
      </w:r>
    </w:p>
    <w:p>
      <w:pPr>
        <w:pStyle w:val="Normal"/>
        <w:spacing w:lineRule="auto" w:line="240" w:before="0" w:after="0"/>
        <w:rPr>
          <w:rFonts w:ascii="DejaVuMathTeXGyre-Regular" w:hAnsi="DejaVuMathTeXGyre-Regular" w:cs="DejaVuMathTeXGyre-Regular"/>
          <w:color w:val="2E7786"/>
          <w:sz w:val="19"/>
          <w:szCs w:val="19"/>
          <w:lang w:val="en-US"/>
        </w:rPr>
      </w:pPr>
      <w:r>
        <w:rPr>
          <w:rFonts w:cs="DejaVuMathTeXGyre-Regular" w:ascii="DejaVuMathTeXGyre-Regular" w:hAnsi="DejaVuMathTeXGyre-Regular"/>
          <w:color w:val="2E7786"/>
          <w:sz w:val="24"/>
          <w:szCs w:val="24"/>
          <w:lang w:val="en-US"/>
        </w:rPr>
        <w:t>8. O</w:t>
      </w:r>
      <w:r>
        <w:rPr>
          <w:rFonts w:cs="DejaVuMathTeXGyre-Regular" w:ascii="DejaVuMathTeXGyre-Regular" w:hAnsi="DejaVuMathTeXGyre-Regular"/>
          <w:color w:val="2E7786"/>
          <w:sz w:val="19"/>
          <w:szCs w:val="19"/>
          <w:lang w:val="en-US"/>
        </w:rPr>
        <w:t xml:space="preserve">UTLINE AND </w:t>
      </w:r>
      <w:r>
        <w:rPr>
          <w:rFonts w:cs="DejaVuMathTeXGyre-Regular" w:ascii="DejaVuMathTeXGyre-Regular" w:hAnsi="DejaVuMathTeXGyre-Regular"/>
          <w:color w:val="2E7786"/>
          <w:sz w:val="24"/>
          <w:szCs w:val="24"/>
          <w:lang w:val="en-US"/>
        </w:rPr>
        <w:t>D</w:t>
      </w:r>
      <w:r>
        <w:rPr>
          <w:rFonts w:cs="DejaVuMathTeXGyre-Regular" w:ascii="DejaVuMathTeXGyre-Regular" w:hAnsi="DejaVuMathTeXGyre-Regular"/>
          <w:color w:val="2E7786"/>
          <w:sz w:val="19"/>
          <w:szCs w:val="19"/>
          <w:lang w:val="en-US"/>
        </w:rPr>
        <w:t xml:space="preserve">ESCRIPTION OF THE </w:t>
      </w:r>
      <w:r>
        <w:rPr>
          <w:rFonts w:cs="DejaVuMathTeXGyre-Regular" w:ascii="DejaVuMathTeXGyre-Regular" w:hAnsi="DejaVuMathTeXGyre-Regular"/>
          <w:color w:val="2E7786"/>
          <w:sz w:val="24"/>
          <w:szCs w:val="24"/>
          <w:lang w:val="en-US"/>
        </w:rPr>
        <w:t>Panel</w:t>
      </w:r>
    </w:p>
    <w:p>
      <w:pPr>
        <w:pStyle w:val="Normal"/>
        <w:spacing w:lineRule="auto" w:line="240" w:before="0" w:after="0"/>
        <w:rPr>
          <w:rFonts w:ascii="DejaVuMathTeXGyre-Regular" w:hAnsi="DejaVuMathTeXGyre-Regular" w:cs="DejaVuMathTeXGyre-Regular"/>
          <w:color w:val="2E7786"/>
          <w:sz w:val="24"/>
          <w:szCs w:val="24"/>
          <w:lang w:val="sv-SE"/>
        </w:rPr>
      </w:pPr>
      <w:r>
        <w:rPr/>
      </w:r>
    </w:p>
    <w:sectPr>
      <w:type w:val="nextPage"/>
      <w:pgSz w:w="11906" w:h="16838"/>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DejaVuMathTeXGyre-Regular">
    <w:charset w:val="01"/>
    <w:family w:val="roman"/>
    <w:pitch w:val="variable"/>
  </w:font>
  <w:font w:name="Segoe UI Symbol">
    <w:charset w:val="01"/>
    <w:family w:val="roman"/>
    <w:pitch w:val="variable"/>
  </w:font>
  <w:font w:name="MS-Gothic">
    <w:charset w:val="01"/>
    <w:family w:val="roman"/>
    <w:pitch w:val="variable"/>
  </w:font>
</w:fonts>
</file>

<file path=word/settings.xml><?xml version="1.0" encoding="utf-8"?>
<w:settings xmlns:w="http://schemas.openxmlformats.org/wordprocessingml/2006/main">
  <w:zoom w:percent="18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paragraph" w:styleId="Heading3">
    <w:name w:val="Heading 3"/>
    <w:basedOn w:val="Normal"/>
    <w:link w:val="Titolo3Carattere"/>
    <w:uiPriority w:val="9"/>
    <w:qFormat/>
    <w:rsid w:val="000a2960"/>
    <w:pPr>
      <w:spacing w:lineRule="auto" w:line="240" w:beforeAutospacing="1" w:afterAutospacing="1"/>
      <w:outlineLvl w:val="2"/>
    </w:pPr>
    <w:rPr>
      <w:rFonts w:ascii="Times New Roman" w:hAnsi="Times New Roman" w:eastAsia="Times New Roman" w:cs="Times New Roman"/>
      <w:b/>
      <w:bCs/>
      <w:sz w:val="27"/>
      <w:szCs w:val="27"/>
      <w:lang w:eastAsia="es-ES"/>
    </w:rPr>
  </w:style>
  <w:style w:type="character" w:styleId="DefaultParagraphFont" w:default="1">
    <w:name w:val="Default Paragraph Font"/>
    <w:uiPriority w:val="1"/>
    <w:semiHidden/>
    <w:unhideWhenUsed/>
    <w:qFormat/>
    <w:rPr/>
  </w:style>
  <w:style w:type="character" w:styleId="Titolo3Carattere" w:customStyle="1">
    <w:name w:val="Titolo 3 Carattere"/>
    <w:basedOn w:val="DefaultParagraphFont"/>
    <w:link w:val="Heading3"/>
    <w:uiPriority w:val="9"/>
    <w:qFormat/>
    <w:rsid w:val="000a2960"/>
    <w:rPr>
      <w:rFonts w:ascii="Times New Roman" w:hAnsi="Times New Roman" w:eastAsia="Times New Roman" w:cs="Times New Roman"/>
      <w:b/>
      <w:bCs/>
      <w:sz w:val="27"/>
      <w:szCs w:val="27"/>
      <w:lang w:eastAsia="es-ES"/>
    </w:rPr>
  </w:style>
  <w:style w:type="character" w:styleId="InternetLink">
    <w:name w:val="Hyperlink"/>
    <w:basedOn w:val="DefaultParagraphFont"/>
    <w:uiPriority w:val="99"/>
    <w:unhideWhenUsed/>
    <w:rsid w:val="000a2960"/>
    <w:rPr>
      <w:color w:val="0563C1" w:themeColor="hyperlink"/>
      <w:u w:val="single"/>
    </w:rPr>
  </w:style>
  <w:style w:type="character" w:styleId="UnresolvedMention">
    <w:name w:val="Unresolved Mention"/>
    <w:basedOn w:val="DefaultParagraphFont"/>
    <w:uiPriority w:val="99"/>
    <w:semiHidden/>
    <w:unhideWhenUsed/>
    <w:qFormat/>
    <w:rsid w:val="00b25a08"/>
    <w:rPr>
      <w:color w:val="605E5C"/>
      <w:shd w:fill="E1DFDD" w:val="clear"/>
    </w:rPr>
  </w:style>
  <w:style w:type="character" w:styleId="VisitedInternetLink">
    <w:name w:val="FollowedHyperlink"/>
    <w:basedOn w:val="DefaultParagraphFont"/>
    <w:uiPriority w:val="99"/>
    <w:semiHidden/>
    <w:unhideWhenUsed/>
    <w:rsid w:val="00b25a08"/>
    <w:rPr>
      <w:color w:val="954F72"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rmalWeb">
    <w:name w:val="Normal (Web)"/>
    <w:basedOn w:val="Normal"/>
    <w:uiPriority w:val="99"/>
    <w:semiHidden/>
    <w:unhideWhenUsed/>
    <w:qFormat/>
    <w:rsid w:val="000a2960"/>
    <w:pPr>
      <w:spacing w:lineRule="auto" w:line="240" w:beforeAutospacing="1" w:afterAutospacing="1"/>
    </w:pPr>
    <w:rPr>
      <w:rFonts w:ascii="Times New Roman" w:hAnsi="Times New Roman" w:eastAsia="Times New Roman" w:cs="Times New Roman"/>
      <w:sz w:val="24"/>
      <w:szCs w:val="24"/>
      <w:lang w:eastAsia="es-ES"/>
    </w:rPr>
  </w:style>
  <w:style w:type="paragraph" w:styleId="ListParagraph">
    <w:name w:val="List Paragraph"/>
    <w:basedOn w:val="Normal"/>
    <w:uiPriority w:val="34"/>
    <w:qFormat/>
    <w:rsid w:val="000a2960"/>
    <w:pPr>
      <w:spacing w:before="0" w:after="160"/>
      <w:ind w:left="720" w:hanging="0"/>
      <w:contextualSpacing/>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0a296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ieeesmc.org/cai-2026/"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Application>LibreOffice/7.3.7.2$Linux_X86_64 LibreOffice_project/30$Build-2</Application>
  <AppVersion>15.0000</AppVersion>
  <Pages>1</Pages>
  <Words>124</Words>
  <Characters>749</Characters>
  <CharactersWithSpaces>858</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2025-12-03T16:09:00Z</dcterms:created>
  <dc:creator>Oscar Cordón García</dc:creator>
  <dc:description/>
  <dc:language>es-ES</dc:language>
  <cp:lastModifiedBy/>
  <dcterms:modified xsi:type="dcterms:W3CDTF">2025-12-12T13:31:18Z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